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62" w:tblpY="185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1417"/>
        <w:gridCol w:w="4821"/>
      </w:tblGrid>
      <w:tr w:rsidR="00F91B14" w:rsidTr="00F91B14">
        <w:trPr>
          <w:trHeight w:val="19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91B14" w:rsidRDefault="00F91B14">
            <w:pPr>
              <w:jc w:val="center"/>
              <w:rPr>
                <w:b/>
                <w:lang w:val="ru-RU"/>
              </w:rPr>
            </w:pPr>
          </w:p>
          <w:p w:rsidR="00F91B14" w:rsidRDefault="00F91B1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Совет депутатов</w:t>
            </w:r>
          </w:p>
          <w:p w:rsidR="00F91B14" w:rsidRDefault="00F91B14">
            <w:pPr>
              <w:pStyle w:val="a3"/>
              <w:framePr w:hSpace="0" w:wrap="auto" w:vAnchor="margin" w:hAnchor="text" w:xAlign="left" w:yAlign="inline"/>
            </w:pPr>
            <w:r>
              <w:t>муниципальног</w:t>
            </w:r>
            <w:r w:rsidR="00C02080">
              <w:t>о образования «НЫНЕКСКОЕ</w:t>
            </w:r>
            <w:r>
              <w:t>»</w:t>
            </w:r>
          </w:p>
          <w:p w:rsidR="00F91B14" w:rsidRDefault="00F91B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1B14" w:rsidRDefault="00F91B14">
            <w:pPr>
              <w:rPr>
                <w:lang w:val="ru-RU"/>
              </w:rPr>
            </w:pPr>
          </w:p>
          <w:p w:rsidR="00F91B14" w:rsidRDefault="00F91B14">
            <w:pPr>
              <w:rPr>
                <w:lang w:val="ru-RU"/>
              </w:rPr>
            </w:pPr>
          </w:p>
          <w:p w:rsidR="00F91B14" w:rsidRDefault="00F91B1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B14" w:rsidRPr="00C02080" w:rsidRDefault="00F91B14">
            <w:pPr>
              <w:pStyle w:val="1"/>
              <w:tabs>
                <w:tab w:val="center" w:pos="2302"/>
              </w:tabs>
              <w:ind w:firstLine="0"/>
              <w:rPr>
                <w:u w:val="single"/>
                <w:lang w:val="en-US"/>
              </w:rPr>
            </w:pPr>
            <w:r w:rsidRPr="00C02080">
              <w:rPr>
                <w:b/>
                <w:bCs/>
                <w:lang w:val="en-US"/>
              </w:rPr>
              <w:t xml:space="preserve">          </w:t>
            </w:r>
            <w:r w:rsidRPr="00C02080">
              <w:rPr>
                <w:b/>
                <w:bCs/>
                <w:lang w:val="en-US"/>
              </w:rPr>
              <w:tab/>
            </w:r>
          </w:p>
          <w:p w:rsidR="00F91B14" w:rsidRPr="00C02080" w:rsidRDefault="00C02080">
            <w:pPr>
              <w:pStyle w:val="1"/>
              <w:ind w:firstLine="0"/>
              <w:jc w:val="center"/>
              <w:rPr>
                <w:b/>
                <w:bCs/>
                <w:lang w:val="en-US"/>
              </w:rPr>
            </w:pPr>
            <w:r w:rsidRPr="00C02080">
              <w:rPr>
                <w:b/>
                <w:bCs/>
                <w:lang w:val="en-US"/>
              </w:rPr>
              <w:t>«</w:t>
            </w:r>
            <w:r>
              <w:rPr>
                <w:b/>
                <w:bCs/>
              </w:rPr>
              <w:t>ЫНЭГ</w:t>
            </w:r>
            <w:r w:rsidR="00F91B14" w:rsidRPr="00C02080">
              <w:rPr>
                <w:b/>
                <w:bCs/>
                <w:lang w:val="en-US"/>
              </w:rPr>
              <w:t>»</w:t>
            </w:r>
          </w:p>
          <w:p w:rsidR="00F91B14" w:rsidRPr="00C02080" w:rsidRDefault="00F91B14">
            <w:pPr>
              <w:pStyle w:val="1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муниципал</w:t>
            </w:r>
            <w:r w:rsidRPr="00C02080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</w:rPr>
              <w:t>кылдытэтлэн</w:t>
            </w:r>
            <w:proofErr w:type="spellEnd"/>
          </w:p>
          <w:p w:rsidR="00F91B14" w:rsidRPr="00C02080" w:rsidRDefault="00F91B14">
            <w:pPr>
              <w:pStyle w:val="1"/>
              <w:ind w:firstLine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депутатъёслэн</w:t>
            </w:r>
            <w:proofErr w:type="spellEnd"/>
            <w:r w:rsidRPr="00C02080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</w:rPr>
              <w:t>Кенешсы</w:t>
            </w:r>
            <w:proofErr w:type="spellEnd"/>
          </w:p>
          <w:p w:rsidR="00F91B14" w:rsidRPr="00C02080" w:rsidRDefault="00F91B14">
            <w:pPr>
              <w:pStyle w:val="1"/>
              <w:ind w:firstLine="0"/>
              <w:rPr>
                <w:b/>
                <w:bCs/>
                <w:lang w:val="en-US"/>
              </w:rPr>
            </w:pPr>
            <w:r w:rsidRPr="00C02080">
              <w:rPr>
                <w:b/>
                <w:bCs/>
                <w:lang w:val="en-US"/>
              </w:rPr>
              <w:t xml:space="preserve"> </w:t>
            </w:r>
          </w:p>
        </w:tc>
      </w:tr>
    </w:tbl>
    <w:p w:rsidR="00F91B14" w:rsidRDefault="00F91B14" w:rsidP="00F91B14">
      <w:pPr>
        <w:pBdr>
          <w:bottom w:val="double" w:sz="6" w:space="1" w:color="auto"/>
        </w:pBdr>
        <w:tabs>
          <w:tab w:val="left" w:pos="4275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РЕШЕНИЕ</w:t>
      </w:r>
    </w:p>
    <w:p w:rsidR="00F91B14" w:rsidRDefault="00F91B14" w:rsidP="00F91B14">
      <w:pPr>
        <w:pBdr>
          <w:bottom w:val="double" w:sz="6" w:space="1" w:color="auto"/>
        </w:pBdr>
        <w:tabs>
          <w:tab w:val="left" w:pos="4275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Совета депутатов муниципального образования «</w:t>
      </w:r>
      <w:r w:rsidR="008B3D39">
        <w:rPr>
          <w:b/>
          <w:bCs/>
          <w:lang w:val="ru-RU"/>
        </w:rPr>
        <w:t>Нынекское</w:t>
      </w:r>
      <w:r>
        <w:rPr>
          <w:b/>
          <w:bCs/>
          <w:lang w:val="ru-RU"/>
        </w:rPr>
        <w:t>»</w:t>
      </w:r>
    </w:p>
    <w:p w:rsidR="00573D0C" w:rsidRDefault="00573D0C" w:rsidP="001A0B4C">
      <w:pPr>
        <w:jc w:val="center"/>
        <w:rPr>
          <w:b/>
          <w:lang w:val="ru-RU"/>
        </w:rPr>
      </w:pPr>
    </w:p>
    <w:p w:rsidR="001A0B4C" w:rsidRDefault="001A0B4C" w:rsidP="001A0B4C">
      <w:pPr>
        <w:jc w:val="center"/>
        <w:rPr>
          <w:b/>
          <w:lang w:val="ru-RU"/>
        </w:rPr>
      </w:pPr>
      <w:r>
        <w:rPr>
          <w:b/>
          <w:lang w:val="ru-RU"/>
        </w:rPr>
        <w:t>О налоге на имущество физических лиц на территории муниципального образования «</w:t>
      </w:r>
      <w:r w:rsidR="00DA5E2A">
        <w:rPr>
          <w:b/>
          <w:lang w:val="ru-RU"/>
        </w:rPr>
        <w:t>Нынекское</w:t>
      </w:r>
      <w:r>
        <w:rPr>
          <w:b/>
          <w:lang w:val="ru-RU"/>
        </w:rPr>
        <w:t xml:space="preserve">» </w:t>
      </w:r>
    </w:p>
    <w:p w:rsidR="000937DE" w:rsidRDefault="00573D0C" w:rsidP="001A0B4C">
      <w:pPr>
        <w:jc w:val="center"/>
        <w:rPr>
          <w:color w:val="0000CC"/>
          <w:lang w:val="ru-RU"/>
        </w:rPr>
      </w:pPr>
      <w:proofErr w:type="gramStart"/>
      <w:r w:rsidRPr="00573D0C">
        <w:rPr>
          <w:color w:val="0000CC"/>
          <w:lang w:val="ru-RU"/>
        </w:rPr>
        <w:t xml:space="preserve">(в ред. </w:t>
      </w:r>
      <w:r>
        <w:rPr>
          <w:color w:val="0000CC"/>
          <w:lang w:val="ru-RU"/>
        </w:rPr>
        <w:t xml:space="preserve">от 22.10.2015 № 33.5, от </w:t>
      </w:r>
      <w:r w:rsidR="00F964A6">
        <w:rPr>
          <w:color w:val="0000CC"/>
          <w:lang w:val="ru-RU"/>
        </w:rPr>
        <w:t xml:space="preserve">25.03.2016 № 39.2, </w:t>
      </w:r>
      <w:r w:rsidR="00F964A6" w:rsidRPr="00F964A6">
        <w:rPr>
          <w:color w:val="0000CC"/>
          <w:lang w:val="ru-RU"/>
        </w:rPr>
        <w:t>от 16.05.2016 № 41.1</w:t>
      </w:r>
      <w:r w:rsidR="000937DE">
        <w:rPr>
          <w:color w:val="0000CC"/>
          <w:lang w:val="ru-RU"/>
        </w:rPr>
        <w:t xml:space="preserve">, </w:t>
      </w:r>
      <w:proofErr w:type="gramEnd"/>
    </w:p>
    <w:p w:rsidR="00573D0C" w:rsidRPr="00F964A6" w:rsidRDefault="000937DE" w:rsidP="001A0B4C">
      <w:pPr>
        <w:jc w:val="center"/>
        <w:rPr>
          <w:color w:val="0000CC"/>
          <w:lang w:val="ru-RU"/>
        </w:rPr>
      </w:pPr>
      <w:r>
        <w:rPr>
          <w:color w:val="0000CC"/>
          <w:lang w:val="ru-RU"/>
        </w:rPr>
        <w:t>от 16.11.2017 № 10.2, от 15.02.2018 № 12.6</w:t>
      </w:r>
      <w:r w:rsidR="00B02F06">
        <w:rPr>
          <w:color w:val="0000CC"/>
          <w:lang w:val="ru-RU"/>
        </w:rPr>
        <w:t>)</w:t>
      </w:r>
      <w:bookmarkStart w:id="0" w:name="_GoBack"/>
      <w:bookmarkEnd w:id="0"/>
    </w:p>
    <w:p w:rsidR="001A0B4C" w:rsidRDefault="001A0B4C" w:rsidP="001A0B4C">
      <w:pPr>
        <w:jc w:val="center"/>
        <w:rPr>
          <w:lang w:val="ru-RU"/>
        </w:rPr>
      </w:pPr>
    </w:p>
    <w:p w:rsidR="001A0B4C" w:rsidRDefault="00DA5E2A" w:rsidP="001A0B4C">
      <w:pPr>
        <w:shd w:val="clear" w:color="auto" w:fill="FFFFFF"/>
        <w:tabs>
          <w:tab w:val="left" w:pos="8201"/>
          <w:tab w:val="left" w:leader="underscore" w:pos="9022"/>
        </w:tabs>
        <w:ind w:left="22"/>
        <w:rPr>
          <w:bCs/>
          <w:color w:val="000000"/>
          <w:spacing w:val="6"/>
          <w:lang w:val="ru-RU"/>
        </w:rPr>
      </w:pPr>
      <w:r>
        <w:rPr>
          <w:bCs/>
          <w:color w:val="000000"/>
          <w:spacing w:val="6"/>
          <w:lang w:val="ru-RU"/>
        </w:rPr>
        <w:t>Принято Сельским Советом депутатов                                25 ноября 2014 года</w:t>
      </w:r>
    </w:p>
    <w:p w:rsidR="001A0B4C" w:rsidRDefault="001A0B4C" w:rsidP="001A0B4C">
      <w:pPr>
        <w:shd w:val="clear" w:color="auto" w:fill="FFFFFF"/>
        <w:spacing w:before="274" w:line="274" w:lineRule="exact"/>
        <w:ind w:right="29"/>
        <w:jc w:val="both"/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В соответствии с главой 32  Налогового кодекса Российской Федерации, пунктом 1 статьи 1, частью 3 статьи 3 Федерального закона от 04 октября 2014 года № 284-ФЗ «О внесении изменений в статьи 12 и 85 части первой и часть  вторую Налогового кодекса Российской Федерации «О налогах на имущество физических лиц», Законом Удмуртской Республики «Об установлении единой даты начала применения на территории Удмуртской</w:t>
      </w:r>
      <w:proofErr w:type="gramEnd"/>
      <w:r>
        <w:rPr>
          <w:lang w:val="ru-RU"/>
        </w:rPr>
        <w:t xml:space="preserve"> Республики порядка определения налоговой базы по налогу на имущество физических лиц исходя из кадастровой стоимости объектов налогообложения» от 18 ноября 2014 года № 63-РЗ, Уставом  муниципального образования «</w:t>
      </w:r>
      <w:r w:rsidR="00DA5E2A">
        <w:rPr>
          <w:lang w:val="ru-RU"/>
        </w:rPr>
        <w:t>Нынекское</w:t>
      </w:r>
      <w:r>
        <w:rPr>
          <w:lang w:val="ru-RU"/>
        </w:rPr>
        <w:t xml:space="preserve">»  </w:t>
      </w:r>
    </w:p>
    <w:p w:rsidR="001A0B4C" w:rsidRDefault="001A0B4C" w:rsidP="001A0B4C">
      <w:pPr>
        <w:pStyle w:val="a5"/>
        <w:ind w:firstLine="0"/>
        <w:jc w:val="both"/>
        <w:rPr>
          <w:color w:val="auto"/>
          <w:sz w:val="24"/>
        </w:rPr>
      </w:pPr>
    </w:p>
    <w:p w:rsidR="001A0B4C" w:rsidRDefault="001A0B4C" w:rsidP="001A0B4C">
      <w:pPr>
        <w:pStyle w:val="a5"/>
        <w:jc w:val="center"/>
        <w:rPr>
          <w:color w:val="auto"/>
          <w:sz w:val="24"/>
        </w:rPr>
      </w:pPr>
      <w:r>
        <w:rPr>
          <w:color w:val="auto"/>
          <w:sz w:val="24"/>
        </w:rPr>
        <w:t>СОВЕТ ДЕПУТАТОВ МУНИЦИПАЛЬНОГО ОБРАЗОВАНИЯ РЕШАЕТ:</w:t>
      </w:r>
    </w:p>
    <w:p w:rsidR="001A0B4C" w:rsidRDefault="001A0B4C" w:rsidP="001A0B4C">
      <w:pPr>
        <w:pStyle w:val="a5"/>
        <w:jc w:val="both"/>
        <w:rPr>
          <w:b/>
          <w:bCs/>
          <w:color w:val="auto"/>
          <w:sz w:val="24"/>
        </w:rPr>
      </w:pPr>
    </w:p>
    <w:p w:rsidR="001A0B4C" w:rsidRDefault="001A0B4C" w:rsidP="001A0B4C">
      <w:pPr>
        <w:pStyle w:val="a5"/>
        <w:jc w:val="both"/>
        <w:rPr>
          <w:color w:val="000000"/>
          <w:sz w:val="24"/>
        </w:rPr>
      </w:pPr>
      <w:r>
        <w:rPr>
          <w:color w:val="000000"/>
          <w:sz w:val="24"/>
        </w:rPr>
        <w:t>1. Установить на территории муниципального образования «</w:t>
      </w:r>
      <w:r w:rsidR="00DA5E2A">
        <w:rPr>
          <w:color w:val="000000"/>
          <w:sz w:val="24"/>
        </w:rPr>
        <w:t>Нынекское</w:t>
      </w:r>
      <w:r>
        <w:rPr>
          <w:color w:val="000000"/>
          <w:sz w:val="24"/>
        </w:rPr>
        <w:t>»  налог на имущество физических лиц.</w:t>
      </w:r>
    </w:p>
    <w:p w:rsidR="00573D0C" w:rsidRDefault="00573D0C" w:rsidP="001A0B4C">
      <w:pPr>
        <w:pStyle w:val="a5"/>
        <w:jc w:val="both"/>
        <w:rPr>
          <w:color w:val="000000"/>
          <w:sz w:val="24"/>
        </w:rPr>
      </w:pPr>
    </w:p>
    <w:p w:rsidR="001A0B4C" w:rsidRDefault="001A0B4C" w:rsidP="001A0B4C">
      <w:pPr>
        <w:pStyle w:val="a5"/>
        <w:jc w:val="both"/>
        <w:rPr>
          <w:color w:val="000000"/>
          <w:sz w:val="24"/>
        </w:rPr>
      </w:pPr>
      <w:r>
        <w:rPr>
          <w:color w:val="000000"/>
          <w:sz w:val="24"/>
        </w:rPr>
        <w:t>2. Установить, что налоговая база по налогу в отношении объектов налогообложения определяется исходя из кадастровой стоимости.</w:t>
      </w:r>
    </w:p>
    <w:p w:rsidR="00573D0C" w:rsidRDefault="00573D0C" w:rsidP="001A0B4C">
      <w:pPr>
        <w:pStyle w:val="a5"/>
        <w:jc w:val="both"/>
        <w:rPr>
          <w:color w:val="000000"/>
          <w:sz w:val="24"/>
        </w:rPr>
      </w:pPr>
    </w:p>
    <w:p w:rsidR="001A0B4C" w:rsidRDefault="001A0B4C" w:rsidP="001A0B4C">
      <w:pPr>
        <w:pStyle w:val="a5"/>
        <w:jc w:val="both"/>
        <w:rPr>
          <w:color w:val="000000"/>
          <w:sz w:val="24"/>
        </w:rPr>
      </w:pPr>
      <w:r>
        <w:rPr>
          <w:color w:val="000000"/>
          <w:sz w:val="24"/>
        </w:rPr>
        <w:t>3. Установить следующие ставки налога на имущество физических лиц:</w:t>
      </w:r>
    </w:p>
    <w:p w:rsidR="001A0B4C" w:rsidRDefault="001A0B4C" w:rsidP="001A0B4C">
      <w:pPr>
        <w:pStyle w:val="a5"/>
        <w:jc w:val="both"/>
        <w:rPr>
          <w:color w:val="000000"/>
          <w:sz w:val="24"/>
        </w:rPr>
      </w:pPr>
      <w:r>
        <w:rPr>
          <w:color w:val="000000"/>
          <w:sz w:val="24"/>
        </w:rPr>
        <w:t>1)  в отношении жилых домов, жилых помещений (квартир, комнат), объектов незавершенного строительства в случае, если проектируемым назначением таких объектов является жилой дом: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755"/>
      </w:tblGrid>
      <w:tr w:rsidR="001A0B4C" w:rsidTr="001A0B4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C" w:rsidRDefault="001A0B4C">
            <w:pPr>
              <w:pStyle w:val="a5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Кадастровая стоимость объекта налогообложения, тыс. руб.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C" w:rsidRDefault="001A0B4C">
            <w:pPr>
              <w:pStyle w:val="a5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Ставка налога, %</w:t>
            </w:r>
          </w:p>
        </w:tc>
      </w:tr>
      <w:tr w:rsidR="001A0B4C" w:rsidTr="001A0B4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C" w:rsidRDefault="001A0B4C">
            <w:pPr>
              <w:pStyle w:val="a5"/>
              <w:ind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 10000 (включительно)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C" w:rsidRDefault="001A0B4C">
            <w:pPr>
              <w:pStyle w:val="a5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</w:t>
            </w:r>
          </w:p>
        </w:tc>
      </w:tr>
      <w:tr w:rsidR="001A0B4C" w:rsidTr="001A0B4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C" w:rsidRDefault="001A0B4C">
            <w:pPr>
              <w:pStyle w:val="a5"/>
              <w:ind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Свыше 10000 до 50000 (включительно)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C" w:rsidRDefault="001A0B4C">
            <w:pPr>
              <w:pStyle w:val="a5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</w:t>
            </w:r>
          </w:p>
        </w:tc>
      </w:tr>
      <w:tr w:rsidR="001A0B4C" w:rsidTr="001A0B4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C" w:rsidRDefault="001A0B4C">
            <w:pPr>
              <w:pStyle w:val="a5"/>
              <w:ind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Свыше 50000 до 300000 (включительно)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C" w:rsidRDefault="001A0B4C">
            <w:pPr>
              <w:pStyle w:val="a5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</w:t>
            </w:r>
          </w:p>
        </w:tc>
      </w:tr>
    </w:tbl>
    <w:p w:rsidR="001A0B4C" w:rsidRDefault="001A0B4C" w:rsidP="001A0B4C">
      <w:pPr>
        <w:pStyle w:val="a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2) в отношении гаражей, </w:t>
      </w:r>
      <w:proofErr w:type="spellStart"/>
      <w:r>
        <w:rPr>
          <w:color w:val="000000"/>
          <w:sz w:val="24"/>
        </w:rPr>
        <w:t>машино</w:t>
      </w:r>
      <w:proofErr w:type="spellEnd"/>
      <w:r>
        <w:rPr>
          <w:color w:val="000000"/>
          <w:sz w:val="24"/>
        </w:rPr>
        <w:t>-мест – 0,1 процента;</w:t>
      </w:r>
    </w:p>
    <w:p w:rsidR="001A0B4C" w:rsidRDefault="001A0B4C" w:rsidP="001A0B4C">
      <w:pPr>
        <w:pStyle w:val="a5"/>
        <w:jc w:val="both"/>
        <w:rPr>
          <w:color w:val="000000"/>
          <w:sz w:val="24"/>
        </w:rPr>
      </w:pPr>
      <w:r>
        <w:rPr>
          <w:color w:val="000000"/>
          <w:sz w:val="24"/>
        </w:rPr>
        <w:t>3) в отношении хозяйственных строений или сооружений, площадь каждого из которых не превышает 50 квадратных метров, расположенных на земельных участках, представленных для ведения личного подсобного, дачного хозяйства, огородничества или индивидуального жилищного строительства – 0,1 процента;</w:t>
      </w:r>
    </w:p>
    <w:p w:rsidR="001A0B4C" w:rsidRDefault="001A0B4C" w:rsidP="001A0B4C">
      <w:pPr>
        <w:pStyle w:val="a5"/>
        <w:jc w:val="both"/>
        <w:rPr>
          <w:color w:val="000000"/>
          <w:sz w:val="24"/>
        </w:rPr>
      </w:pPr>
      <w:r>
        <w:rPr>
          <w:color w:val="000000"/>
          <w:sz w:val="24"/>
        </w:rPr>
        <w:t>4) в отношении единых недвижимых комплексов, в состав которых входит хотя бы одно жилое помещение (жилой дом):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755"/>
      </w:tblGrid>
      <w:tr w:rsidR="001A0B4C" w:rsidTr="001A0B4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C" w:rsidRDefault="001A0B4C">
            <w:pPr>
              <w:pStyle w:val="a5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Кадастровая стоимость объекта налогообложения, тыс. руб.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C" w:rsidRDefault="001A0B4C">
            <w:pPr>
              <w:pStyle w:val="a5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Ставка налога, %</w:t>
            </w:r>
          </w:p>
        </w:tc>
      </w:tr>
      <w:tr w:rsidR="001A0B4C" w:rsidTr="001A0B4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C" w:rsidRDefault="001A0B4C">
            <w:pPr>
              <w:pStyle w:val="a5"/>
              <w:ind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 10000 (включительно)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C" w:rsidRDefault="001A0B4C">
            <w:pPr>
              <w:pStyle w:val="a5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</w:t>
            </w:r>
          </w:p>
        </w:tc>
      </w:tr>
      <w:tr w:rsidR="001A0B4C" w:rsidTr="001A0B4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C" w:rsidRDefault="001A0B4C">
            <w:pPr>
              <w:pStyle w:val="a5"/>
              <w:ind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Свыше 10000 до 50000 (включительно)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C" w:rsidRDefault="001A0B4C">
            <w:pPr>
              <w:pStyle w:val="a5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</w:t>
            </w:r>
          </w:p>
        </w:tc>
      </w:tr>
      <w:tr w:rsidR="001A0B4C" w:rsidTr="001A0B4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C" w:rsidRDefault="001A0B4C">
            <w:pPr>
              <w:pStyle w:val="a5"/>
              <w:ind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Свыше 50000 до 300000 (включительно)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C" w:rsidRDefault="001A0B4C">
            <w:pPr>
              <w:pStyle w:val="a5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</w:t>
            </w:r>
          </w:p>
        </w:tc>
      </w:tr>
    </w:tbl>
    <w:p w:rsidR="001A0B4C" w:rsidRDefault="001A0B4C" w:rsidP="001A0B4C">
      <w:pPr>
        <w:pStyle w:val="a5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5) в отношении объектов налогообложения, включенных в перечень объектов недвижимого имущества, в отношении которых налоговая база определяется как кадастровая стоимость на соответствующий налоговый  период, утвержденный Правительством Удмуртской Республики – 2 процента;</w:t>
      </w:r>
    </w:p>
    <w:p w:rsidR="001A0B4C" w:rsidRDefault="001A0B4C" w:rsidP="001A0B4C">
      <w:pPr>
        <w:pStyle w:val="a5"/>
        <w:jc w:val="both"/>
        <w:rPr>
          <w:color w:val="000000"/>
          <w:sz w:val="24"/>
        </w:rPr>
      </w:pPr>
      <w:r>
        <w:rPr>
          <w:color w:val="000000"/>
          <w:sz w:val="24"/>
        </w:rPr>
        <w:t>6) в отношении объектов налогообложения</w:t>
      </w:r>
      <w:proofErr w:type="gramStart"/>
      <w:r>
        <w:rPr>
          <w:color w:val="000000"/>
          <w:sz w:val="24"/>
        </w:rPr>
        <w:t xml:space="preserve"> ,</w:t>
      </w:r>
      <w:proofErr w:type="gramEnd"/>
      <w:r>
        <w:rPr>
          <w:color w:val="000000"/>
          <w:sz w:val="24"/>
        </w:rPr>
        <w:t xml:space="preserve"> кадастровая стоимость каждого из которых превышает 300 миллионов рублей – 2 процента;</w:t>
      </w:r>
    </w:p>
    <w:p w:rsidR="001A0B4C" w:rsidRDefault="001A0B4C" w:rsidP="001A0B4C">
      <w:pPr>
        <w:pStyle w:val="a5"/>
        <w:jc w:val="both"/>
        <w:rPr>
          <w:color w:val="000000"/>
          <w:sz w:val="24"/>
        </w:rPr>
      </w:pPr>
      <w:r>
        <w:rPr>
          <w:color w:val="000000"/>
          <w:sz w:val="24"/>
        </w:rPr>
        <w:t>7) в отношении прочих объектов налогообложения – 0,5 процента.</w:t>
      </w:r>
    </w:p>
    <w:p w:rsidR="00573D0C" w:rsidRDefault="00573D0C" w:rsidP="001A0B4C">
      <w:pPr>
        <w:pStyle w:val="a5"/>
        <w:jc w:val="both"/>
        <w:rPr>
          <w:color w:val="000000"/>
          <w:sz w:val="24"/>
        </w:rPr>
      </w:pPr>
    </w:p>
    <w:p w:rsidR="000937DE" w:rsidRPr="000937DE" w:rsidRDefault="00573D0C" w:rsidP="000937DE">
      <w:pPr>
        <w:ind w:firstLine="709"/>
        <w:jc w:val="both"/>
        <w:rPr>
          <w:bCs/>
          <w:i/>
          <w:lang w:val="ru-RU"/>
        </w:rPr>
      </w:pPr>
      <w:bookmarkStart w:id="1" w:name="OLE_LINK23"/>
      <w:bookmarkStart w:id="2" w:name="OLE_LINK24"/>
      <w:r w:rsidRPr="000937DE">
        <w:rPr>
          <w:bCs/>
          <w:i/>
          <w:color w:val="000000" w:themeColor="text1"/>
          <w:lang w:val="ru-RU"/>
        </w:rPr>
        <w:t>4.</w:t>
      </w:r>
      <w:bookmarkEnd w:id="1"/>
      <w:bookmarkEnd w:id="2"/>
      <w:r w:rsidR="00F964A6" w:rsidRPr="000937DE">
        <w:rPr>
          <w:bCs/>
          <w:i/>
          <w:lang w:val="ru-RU"/>
        </w:rPr>
        <w:t xml:space="preserve"> </w:t>
      </w:r>
      <w:bookmarkStart w:id="3" w:name="OLE_LINK20"/>
      <w:bookmarkStart w:id="4" w:name="OLE_LINK21"/>
      <w:bookmarkStart w:id="5" w:name="OLE_LINK22"/>
      <w:r w:rsidR="000937DE" w:rsidRPr="000937DE">
        <w:rPr>
          <w:bCs/>
          <w:i/>
          <w:lang w:val="ru-RU"/>
        </w:rPr>
        <w:t>Установить налоговые льготы  по налогу на имущество физических лиц для следующих категорий налогоплательщиков:</w:t>
      </w:r>
    </w:p>
    <w:p w:rsidR="000937DE" w:rsidRPr="000937DE" w:rsidRDefault="000937DE" w:rsidP="000937DE">
      <w:pPr>
        <w:ind w:firstLine="709"/>
        <w:jc w:val="both"/>
        <w:rPr>
          <w:bCs/>
          <w:i/>
          <w:color w:val="000000" w:themeColor="text1"/>
          <w:lang w:val="ru-RU"/>
        </w:rPr>
      </w:pPr>
      <w:r w:rsidRPr="000937DE">
        <w:rPr>
          <w:bCs/>
          <w:i/>
          <w:lang w:val="ru-RU"/>
        </w:rPr>
        <w:t xml:space="preserve">- </w:t>
      </w:r>
      <w:r w:rsidRPr="000937DE">
        <w:rPr>
          <w:bCs/>
          <w:i/>
          <w:color w:val="000000" w:themeColor="text1"/>
          <w:lang w:val="ru-RU"/>
        </w:rPr>
        <w:t>Почетные граждане Можгинского района;</w:t>
      </w:r>
    </w:p>
    <w:p w:rsidR="000937DE" w:rsidRPr="000937DE" w:rsidRDefault="000937DE" w:rsidP="000937DE">
      <w:pPr>
        <w:ind w:firstLine="709"/>
        <w:jc w:val="both"/>
        <w:rPr>
          <w:rFonts w:eastAsia="Calibri"/>
          <w:i/>
          <w:color w:val="000000" w:themeColor="text1"/>
          <w:lang w:val="ru-RU"/>
        </w:rPr>
      </w:pPr>
      <w:r w:rsidRPr="000937DE">
        <w:rPr>
          <w:bCs/>
          <w:i/>
          <w:color w:val="000000" w:themeColor="text1"/>
          <w:lang w:val="ru-RU"/>
        </w:rPr>
        <w:t xml:space="preserve">- </w:t>
      </w:r>
      <w:r w:rsidRPr="000937DE">
        <w:rPr>
          <w:rFonts w:eastAsia="Calibri"/>
          <w:bCs/>
          <w:i/>
          <w:color w:val="000000" w:themeColor="text1"/>
          <w:lang w:val="ru-RU"/>
        </w:rPr>
        <w:t>дети-сироты</w:t>
      </w:r>
      <w:r w:rsidRPr="000937DE">
        <w:rPr>
          <w:rFonts w:eastAsia="Calibri"/>
          <w:i/>
          <w:color w:val="000000" w:themeColor="text1"/>
          <w:lang w:val="ru-RU"/>
        </w:rPr>
        <w:t xml:space="preserve">, </w:t>
      </w:r>
      <w:r w:rsidRPr="000937DE">
        <w:rPr>
          <w:rFonts w:eastAsia="Calibri"/>
          <w:bCs/>
          <w:i/>
          <w:color w:val="000000" w:themeColor="text1"/>
          <w:lang w:val="ru-RU"/>
        </w:rPr>
        <w:t>дети, оставшиеся без попечения родителей</w:t>
      </w:r>
      <w:r w:rsidRPr="000937DE">
        <w:rPr>
          <w:rFonts w:eastAsia="Calibri"/>
          <w:i/>
          <w:color w:val="000000" w:themeColor="text1"/>
          <w:lang w:val="ru-RU"/>
        </w:rPr>
        <w:t>;</w:t>
      </w:r>
      <w:r w:rsidRPr="000937DE">
        <w:rPr>
          <w:rFonts w:eastAsia="Calibri"/>
          <w:b/>
          <w:bCs/>
          <w:i/>
          <w:color w:val="000000" w:themeColor="text1"/>
          <w:lang w:val="ru-RU"/>
        </w:rPr>
        <w:t xml:space="preserve"> </w:t>
      </w:r>
    </w:p>
    <w:p w:rsidR="000937DE" w:rsidRPr="000937DE" w:rsidRDefault="000937DE" w:rsidP="000937DE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val="ru-RU"/>
        </w:rPr>
      </w:pPr>
      <w:r w:rsidRPr="000937DE">
        <w:rPr>
          <w:rFonts w:eastAsia="Calibri"/>
          <w:b/>
          <w:bCs/>
          <w:i/>
          <w:color w:val="000000" w:themeColor="text1"/>
          <w:lang w:val="ru-RU"/>
        </w:rPr>
        <w:t xml:space="preserve">- </w:t>
      </w:r>
      <w:r w:rsidRPr="000937DE">
        <w:rPr>
          <w:rFonts w:eastAsia="Calibri"/>
          <w:bCs/>
          <w:i/>
          <w:color w:val="000000" w:themeColor="text1"/>
          <w:lang w:val="ru-RU"/>
        </w:rPr>
        <w:t>лица из числа детей-сирот и детей, оставшихся без попечения родителей</w:t>
      </w:r>
      <w:r w:rsidRPr="000937DE">
        <w:rPr>
          <w:rFonts w:eastAsia="Calibri"/>
          <w:i/>
          <w:color w:val="000000" w:themeColor="text1"/>
          <w:lang w:val="ru-RU"/>
        </w:rPr>
        <w:t xml:space="preserve">, </w:t>
      </w:r>
      <w:r w:rsidRPr="000937DE">
        <w:rPr>
          <w:i/>
          <w:color w:val="000000" w:themeColor="text1"/>
          <w:lang w:val="ru-RU"/>
        </w:rPr>
        <w:t>обучающихся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лет;</w:t>
      </w:r>
    </w:p>
    <w:p w:rsidR="000937DE" w:rsidRPr="000937DE" w:rsidRDefault="000937DE" w:rsidP="000937D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lang w:val="ru-RU"/>
        </w:rPr>
      </w:pPr>
      <w:r w:rsidRPr="000937DE">
        <w:rPr>
          <w:rFonts w:eastAsia="Calibri"/>
          <w:b/>
          <w:bCs/>
          <w:i/>
          <w:color w:val="000000" w:themeColor="text1"/>
          <w:lang w:val="ru-RU"/>
        </w:rPr>
        <w:t xml:space="preserve">- </w:t>
      </w:r>
      <w:r w:rsidRPr="000937DE">
        <w:rPr>
          <w:i/>
          <w:color w:val="000000" w:themeColor="text1"/>
          <w:lang w:val="ru-RU"/>
        </w:rPr>
        <w:t xml:space="preserve"> члены многодетных малообеспеченных семей, имеющих трех и более детей, не достигших возраста 18 лет, а также детей, обучающихся в организациях, осуществляющих образовательную деятельность, по очной форме обучения, до окончания обучения, но не дольше чем достижения ими возраста 23 лет</w:t>
      </w:r>
      <w:r w:rsidRPr="000937DE">
        <w:rPr>
          <w:rFonts w:eastAsia="Calibri"/>
          <w:i/>
          <w:color w:val="000000" w:themeColor="text1"/>
          <w:lang w:val="ru-RU"/>
        </w:rPr>
        <w:t>.</w:t>
      </w:r>
    </w:p>
    <w:p w:rsidR="000937DE" w:rsidRPr="000937DE" w:rsidRDefault="000937DE" w:rsidP="000937DE">
      <w:pPr>
        <w:ind w:firstLine="709"/>
        <w:jc w:val="both"/>
        <w:rPr>
          <w:i/>
          <w:color w:val="000000" w:themeColor="text1"/>
          <w:lang w:val="ru-RU"/>
        </w:rPr>
      </w:pPr>
      <w:r w:rsidRPr="000937DE">
        <w:rPr>
          <w:i/>
          <w:color w:val="000000" w:themeColor="text1"/>
          <w:lang w:val="ru-RU"/>
        </w:rPr>
        <w:t>Указанным категориям лиц налоговая льгота предоставляется в виде освобождения от уплаты налога на имущество физических лиц по следующим основаниям и порядку применения налоговых льгот:</w:t>
      </w:r>
    </w:p>
    <w:p w:rsidR="000937DE" w:rsidRPr="000937DE" w:rsidRDefault="000937DE" w:rsidP="000937DE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i/>
          <w:color w:val="000000" w:themeColor="text1"/>
          <w:lang w:val="ru-RU"/>
        </w:rPr>
      </w:pPr>
      <w:r w:rsidRPr="000937DE">
        <w:rPr>
          <w:i/>
          <w:color w:val="000000" w:themeColor="text1"/>
          <w:lang w:val="ru-RU"/>
        </w:rPr>
        <w:t>Налоговая льгота предоставляется в размере подлежащей уплате налогоплательщиком суммы налога в отношении объектов налогообложения, находящихся в собственности налогоплательщика и не используемых налогоплательщиком в предпринимательской деятельности;</w:t>
      </w:r>
    </w:p>
    <w:p w:rsidR="000937DE" w:rsidRPr="000937DE" w:rsidRDefault="000937DE" w:rsidP="000937DE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i/>
          <w:color w:val="000000" w:themeColor="text1"/>
          <w:lang w:val="ru-RU"/>
        </w:rPr>
      </w:pPr>
      <w:r w:rsidRPr="000937DE">
        <w:rPr>
          <w:i/>
          <w:color w:val="000000" w:themeColor="text1"/>
          <w:lang w:val="ru-RU"/>
        </w:rPr>
        <w:t xml:space="preserve"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вида: </w:t>
      </w:r>
    </w:p>
    <w:p w:rsidR="000937DE" w:rsidRPr="000937DE" w:rsidRDefault="000937DE" w:rsidP="000937DE">
      <w:pPr>
        <w:tabs>
          <w:tab w:val="left" w:pos="0"/>
        </w:tabs>
        <w:ind w:firstLine="567"/>
        <w:contextualSpacing/>
        <w:jc w:val="both"/>
        <w:rPr>
          <w:i/>
          <w:color w:val="000000" w:themeColor="text1"/>
          <w:lang w:val="ru-RU"/>
        </w:rPr>
      </w:pPr>
      <w:r w:rsidRPr="000937DE">
        <w:rPr>
          <w:i/>
          <w:color w:val="000000" w:themeColor="text1"/>
          <w:lang w:val="ru-RU"/>
        </w:rPr>
        <w:t>- квартира или комната;</w:t>
      </w:r>
    </w:p>
    <w:p w:rsidR="000937DE" w:rsidRPr="000937DE" w:rsidRDefault="000937DE" w:rsidP="000937DE">
      <w:pPr>
        <w:tabs>
          <w:tab w:val="left" w:pos="0"/>
        </w:tabs>
        <w:ind w:firstLine="567"/>
        <w:contextualSpacing/>
        <w:jc w:val="both"/>
        <w:rPr>
          <w:i/>
          <w:color w:val="000000" w:themeColor="text1"/>
          <w:lang w:val="ru-RU"/>
        </w:rPr>
      </w:pPr>
      <w:r w:rsidRPr="000937DE">
        <w:rPr>
          <w:i/>
          <w:color w:val="000000" w:themeColor="text1"/>
          <w:lang w:val="ru-RU"/>
        </w:rPr>
        <w:t>- жилой дом;</w:t>
      </w:r>
    </w:p>
    <w:p w:rsidR="000937DE" w:rsidRPr="000937DE" w:rsidRDefault="000937DE" w:rsidP="000937DE">
      <w:pPr>
        <w:tabs>
          <w:tab w:val="left" w:pos="0"/>
        </w:tabs>
        <w:ind w:firstLine="567"/>
        <w:contextualSpacing/>
        <w:jc w:val="both"/>
        <w:rPr>
          <w:i/>
          <w:color w:val="000000" w:themeColor="text1"/>
          <w:lang w:val="ru-RU"/>
        </w:rPr>
      </w:pPr>
      <w:r w:rsidRPr="000937DE">
        <w:rPr>
          <w:i/>
          <w:color w:val="000000" w:themeColor="text1"/>
          <w:lang w:val="ru-RU"/>
        </w:rPr>
        <w:t>- помещение или сооружение, в отношении специально оборудованных помещений, сооружений, используемых физическими лицами, осуществляющих профессиональную творческую деятельность исключительно в качестве творческих мастерских, ателье, студий, а также жилых помещений, используемых для организации открытых для помещения негосударственных музеев, галерей, библиотек - на период такого использования;</w:t>
      </w:r>
    </w:p>
    <w:p w:rsidR="000937DE" w:rsidRPr="000937DE" w:rsidRDefault="000937DE" w:rsidP="000937DE">
      <w:pPr>
        <w:tabs>
          <w:tab w:val="left" w:pos="0"/>
        </w:tabs>
        <w:ind w:firstLine="567"/>
        <w:contextualSpacing/>
        <w:jc w:val="both"/>
        <w:rPr>
          <w:i/>
          <w:color w:val="000000" w:themeColor="text1"/>
          <w:lang w:val="ru-RU"/>
        </w:rPr>
      </w:pPr>
      <w:r w:rsidRPr="000937DE">
        <w:rPr>
          <w:i/>
          <w:color w:val="000000" w:themeColor="text1"/>
          <w:lang w:val="ru-RU"/>
        </w:rPr>
        <w:t xml:space="preserve">- хозяйственное строение или сооружение, площадь каждого из которых не превышает 50 квадратных </w:t>
      </w:r>
      <w:proofErr w:type="gramStart"/>
      <w:r w:rsidRPr="000937DE">
        <w:rPr>
          <w:i/>
          <w:color w:val="000000" w:themeColor="text1"/>
          <w:lang w:val="ru-RU"/>
        </w:rPr>
        <w:t>метров</w:t>
      </w:r>
      <w:proofErr w:type="gramEnd"/>
      <w:r w:rsidRPr="000937DE">
        <w:rPr>
          <w:i/>
          <w:color w:val="000000" w:themeColor="text1"/>
          <w:lang w:val="ru-RU"/>
        </w:rPr>
        <w:t xml:space="preserve"> и </w:t>
      </w:r>
      <w:proofErr w:type="gramStart"/>
      <w:r w:rsidRPr="000937DE">
        <w:rPr>
          <w:i/>
          <w:color w:val="000000" w:themeColor="text1"/>
          <w:lang w:val="ru-RU"/>
        </w:rPr>
        <w:t>которые</w:t>
      </w:r>
      <w:proofErr w:type="gramEnd"/>
      <w:r w:rsidRPr="000937DE">
        <w:rPr>
          <w:i/>
          <w:color w:val="000000" w:themeColor="text1"/>
          <w:lang w:val="ru-RU"/>
        </w:rPr>
        <w:t xml:space="preserve"> расположены на земельных участках, представленных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937DE" w:rsidRPr="000937DE" w:rsidRDefault="000937DE" w:rsidP="000937DE">
      <w:pPr>
        <w:tabs>
          <w:tab w:val="left" w:pos="0"/>
        </w:tabs>
        <w:ind w:firstLine="567"/>
        <w:contextualSpacing/>
        <w:jc w:val="both"/>
        <w:rPr>
          <w:i/>
          <w:color w:val="000000" w:themeColor="text1"/>
          <w:lang w:val="ru-RU"/>
        </w:rPr>
      </w:pPr>
      <w:r w:rsidRPr="000937DE">
        <w:rPr>
          <w:i/>
          <w:color w:val="000000" w:themeColor="text1"/>
          <w:lang w:val="ru-RU"/>
        </w:rPr>
        <w:t xml:space="preserve">- гараж или </w:t>
      </w:r>
      <w:proofErr w:type="spellStart"/>
      <w:r w:rsidRPr="000937DE">
        <w:rPr>
          <w:i/>
          <w:color w:val="000000" w:themeColor="text1"/>
          <w:lang w:val="ru-RU"/>
        </w:rPr>
        <w:t>машино</w:t>
      </w:r>
      <w:proofErr w:type="spellEnd"/>
      <w:r w:rsidRPr="000937DE">
        <w:rPr>
          <w:i/>
          <w:color w:val="000000" w:themeColor="text1"/>
          <w:lang w:val="ru-RU"/>
        </w:rPr>
        <w:t>-место.</w:t>
      </w:r>
    </w:p>
    <w:p w:rsidR="000937DE" w:rsidRPr="000937DE" w:rsidRDefault="000937DE" w:rsidP="000937DE">
      <w:pPr>
        <w:ind w:firstLine="709"/>
        <w:contextualSpacing/>
        <w:jc w:val="both"/>
        <w:rPr>
          <w:i/>
          <w:color w:val="000000" w:themeColor="text1"/>
          <w:lang w:val="ru-RU"/>
        </w:rPr>
      </w:pPr>
      <w:r w:rsidRPr="000937DE">
        <w:rPr>
          <w:i/>
          <w:color w:val="000000" w:themeColor="text1"/>
          <w:lang w:val="ru-RU"/>
        </w:rPr>
        <w:t>По выбору налогоплательщика вне зависимости от количества оснований для применения льгот;</w:t>
      </w:r>
    </w:p>
    <w:p w:rsidR="001A0B4C" w:rsidRPr="00F964A6" w:rsidRDefault="000937DE" w:rsidP="000937DE">
      <w:pPr>
        <w:pStyle w:val="a5"/>
        <w:ind w:firstLine="709"/>
        <w:jc w:val="both"/>
        <w:rPr>
          <w:rFonts w:eastAsiaTheme="minorHAnsi"/>
          <w:i/>
          <w:sz w:val="24"/>
        </w:rPr>
      </w:pPr>
      <w:r w:rsidRPr="000937DE">
        <w:rPr>
          <w:i/>
          <w:color w:val="000000" w:themeColor="text1"/>
          <w:sz w:val="24"/>
        </w:rPr>
        <w:t>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</w:t>
      </w:r>
      <w:proofErr w:type="gramStart"/>
      <w:r w:rsidRPr="000937DE">
        <w:rPr>
          <w:i/>
          <w:color w:val="000000" w:themeColor="text1"/>
          <w:sz w:val="24"/>
        </w:rPr>
        <w:t>.</w:t>
      </w:r>
      <w:bookmarkEnd w:id="3"/>
      <w:bookmarkEnd w:id="4"/>
      <w:bookmarkEnd w:id="5"/>
      <w:proofErr w:type="gramEnd"/>
      <w:r w:rsidR="00F964A6" w:rsidRPr="000937DE">
        <w:rPr>
          <w:i/>
          <w:color w:val="0000CC"/>
          <w:sz w:val="24"/>
        </w:rPr>
        <w:t xml:space="preserve"> </w:t>
      </w:r>
      <w:r w:rsidR="00F964A6" w:rsidRPr="000937DE">
        <w:rPr>
          <w:color w:val="0000CC"/>
          <w:sz w:val="24"/>
        </w:rPr>
        <w:t>(</w:t>
      </w:r>
      <w:proofErr w:type="gramStart"/>
      <w:r w:rsidR="00F964A6" w:rsidRPr="000937DE">
        <w:rPr>
          <w:color w:val="0000CC"/>
          <w:sz w:val="24"/>
        </w:rPr>
        <w:t>р</w:t>
      </w:r>
      <w:proofErr w:type="gramEnd"/>
      <w:r w:rsidR="00F964A6" w:rsidRPr="000937DE">
        <w:rPr>
          <w:color w:val="0000CC"/>
          <w:sz w:val="24"/>
        </w:rPr>
        <w:t>ед. о</w:t>
      </w:r>
      <w:r w:rsidR="00573D0C" w:rsidRPr="000937DE">
        <w:rPr>
          <w:color w:val="0000CC"/>
          <w:sz w:val="24"/>
        </w:rPr>
        <w:t>т 22.10.2015 № 33.5</w:t>
      </w:r>
      <w:r w:rsidR="00F964A6" w:rsidRPr="000937DE">
        <w:rPr>
          <w:color w:val="0000CC"/>
          <w:sz w:val="24"/>
        </w:rPr>
        <w:t xml:space="preserve">, с доп. </w:t>
      </w:r>
      <w:r w:rsidR="00F964A6" w:rsidRPr="000937DE">
        <w:rPr>
          <w:color w:val="0000CC"/>
          <w:sz w:val="24"/>
        </w:rPr>
        <w:t>от 25.03.2016 № 39.2</w:t>
      </w:r>
      <w:r w:rsidR="00F964A6" w:rsidRPr="000937DE">
        <w:rPr>
          <w:color w:val="0000CC"/>
          <w:sz w:val="24"/>
        </w:rPr>
        <w:t>, от 16.05.2016 № 41.1</w:t>
      </w:r>
      <w:r w:rsidRPr="000937DE">
        <w:rPr>
          <w:color w:val="0000CC"/>
          <w:sz w:val="24"/>
        </w:rPr>
        <w:t xml:space="preserve">, </w:t>
      </w:r>
      <w:r w:rsidRPr="000937DE">
        <w:rPr>
          <w:color w:val="0000CC"/>
          <w:sz w:val="24"/>
        </w:rPr>
        <w:t>от 16.11.2017 № 10.2</w:t>
      </w:r>
      <w:r w:rsidR="00F964A6" w:rsidRPr="000937DE">
        <w:rPr>
          <w:color w:val="0000CC"/>
          <w:sz w:val="24"/>
        </w:rPr>
        <w:t>)</w:t>
      </w:r>
    </w:p>
    <w:p w:rsidR="00573D0C" w:rsidRPr="00F964A6" w:rsidRDefault="00573D0C" w:rsidP="00573D0C">
      <w:pPr>
        <w:ind w:firstLine="709"/>
        <w:jc w:val="both"/>
        <w:rPr>
          <w:i/>
          <w:lang w:val="ru-RU"/>
        </w:rPr>
      </w:pPr>
    </w:p>
    <w:p w:rsidR="00573D0C" w:rsidRPr="00573D0C" w:rsidRDefault="00573D0C" w:rsidP="00573D0C">
      <w:pPr>
        <w:pStyle w:val="Style11"/>
        <w:widowControl/>
        <w:tabs>
          <w:tab w:val="left" w:pos="0"/>
        </w:tabs>
        <w:spacing w:line="269" w:lineRule="exact"/>
        <w:ind w:firstLine="709"/>
        <w:rPr>
          <w:rStyle w:val="FontStyle16"/>
          <w:i/>
        </w:rPr>
      </w:pPr>
      <w:r w:rsidRPr="00573D0C">
        <w:rPr>
          <w:rStyle w:val="FontStyle16"/>
          <w:i/>
        </w:rPr>
        <w:t xml:space="preserve">5. </w:t>
      </w:r>
      <w:r w:rsidR="000937DE" w:rsidRPr="000937DE">
        <w:rPr>
          <w:i/>
        </w:rPr>
        <w:t>Лица, имеющие в соответствии с пунктом 4 настоящего решения право на налоговую льготу, вправе предоставить в налоговый орган следующие документы, подтверждающие право налогоплательщика на налоговую льготу, в срок до 01 февраля года, следующего за налоговым периодом: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573D0C" w:rsidRPr="00573D0C" w:rsidTr="00573D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C" w:rsidRPr="00573D0C" w:rsidRDefault="00573D0C" w:rsidP="00573D0C">
            <w:pPr>
              <w:jc w:val="center"/>
              <w:rPr>
                <w:i/>
                <w:lang w:val="ru-RU"/>
              </w:rPr>
            </w:pPr>
            <w:r w:rsidRPr="00573D0C">
              <w:rPr>
                <w:i/>
                <w:lang w:val="ru-RU"/>
              </w:rPr>
              <w:t>Категория налогоплательщиков, имеющих право на налоговую льготу</w:t>
            </w:r>
          </w:p>
          <w:p w:rsidR="00573D0C" w:rsidRPr="00573D0C" w:rsidRDefault="00573D0C" w:rsidP="00573D0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573D0C" w:rsidRDefault="00573D0C" w:rsidP="00573D0C">
            <w:pPr>
              <w:jc w:val="center"/>
              <w:rPr>
                <w:i/>
                <w:lang w:val="ru-RU"/>
              </w:rPr>
            </w:pPr>
            <w:r w:rsidRPr="00573D0C">
              <w:rPr>
                <w:i/>
                <w:lang w:val="ru-RU"/>
              </w:rPr>
              <w:t>Документы, подтверждающие право налогоплательщика на налоговую льготу</w:t>
            </w:r>
          </w:p>
        </w:tc>
      </w:tr>
      <w:tr w:rsidR="00573D0C" w:rsidRPr="00573D0C" w:rsidTr="00573D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C" w:rsidRPr="00573D0C" w:rsidRDefault="00573D0C" w:rsidP="00573D0C">
            <w:pPr>
              <w:jc w:val="both"/>
              <w:rPr>
                <w:i/>
                <w:lang w:val="ru-RU"/>
              </w:rPr>
            </w:pPr>
          </w:p>
          <w:p w:rsidR="00573D0C" w:rsidRPr="00573D0C" w:rsidRDefault="00573D0C" w:rsidP="00573D0C">
            <w:pPr>
              <w:jc w:val="both"/>
              <w:rPr>
                <w:i/>
              </w:rPr>
            </w:pPr>
            <w:proofErr w:type="spellStart"/>
            <w:r w:rsidRPr="00573D0C">
              <w:rPr>
                <w:i/>
              </w:rPr>
              <w:t>Поч</w:t>
            </w:r>
            <w:proofErr w:type="spellEnd"/>
            <w:r w:rsidRPr="00573D0C">
              <w:rPr>
                <w:i/>
                <w:lang w:val="ru-RU"/>
              </w:rPr>
              <w:t>ё</w:t>
            </w:r>
            <w:proofErr w:type="spellStart"/>
            <w:r w:rsidRPr="00573D0C">
              <w:rPr>
                <w:i/>
              </w:rPr>
              <w:t>тные</w:t>
            </w:r>
            <w:proofErr w:type="spellEnd"/>
            <w:r w:rsidRPr="00573D0C">
              <w:rPr>
                <w:i/>
              </w:rPr>
              <w:t xml:space="preserve"> </w:t>
            </w:r>
            <w:proofErr w:type="spellStart"/>
            <w:r w:rsidRPr="00573D0C">
              <w:rPr>
                <w:i/>
              </w:rPr>
              <w:t>граждане</w:t>
            </w:r>
            <w:proofErr w:type="spellEnd"/>
            <w:r w:rsidRPr="00573D0C">
              <w:rPr>
                <w:i/>
              </w:rPr>
              <w:t xml:space="preserve"> Можгинского </w:t>
            </w:r>
            <w:proofErr w:type="spellStart"/>
            <w:r w:rsidRPr="00573D0C">
              <w:rPr>
                <w:i/>
              </w:rPr>
              <w:t>района</w:t>
            </w:r>
            <w:proofErr w:type="spellEnd"/>
          </w:p>
          <w:p w:rsidR="00573D0C" w:rsidRPr="00573D0C" w:rsidRDefault="00573D0C" w:rsidP="00573D0C">
            <w:pPr>
              <w:jc w:val="both"/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573D0C" w:rsidRDefault="00573D0C" w:rsidP="00573D0C">
            <w:pPr>
              <w:jc w:val="both"/>
              <w:rPr>
                <w:i/>
                <w:lang w:val="ru-RU"/>
              </w:rPr>
            </w:pPr>
            <w:r w:rsidRPr="00573D0C">
              <w:rPr>
                <w:i/>
                <w:lang w:val="ru-RU"/>
              </w:rPr>
              <w:t>Удостоверение Почетного гражданина Можгинского района; документ, удостоверяющий личность</w:t>
            </w:r>
          </w:p>
        </w:tc>
      </w:tr>
      <w:tr w:rsidR="00573D0C" w:rsidRPr="00573D0C" w:rsidTr="00573D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573D0C" w:rsidRDefault="00573D0C" w:rsidP="00573D0C">
            <w:pPr>
              <w:rPr>
                <w:i/>
                <w:lang w:val="ru-RU"/>
              </w:rPr>
            </w:pPr>
            <w:r w:rsidRPr="00573D0C">
              <w:rPr>
                <w:i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573D0C" w:rsidRDefault="00573D0C" w:rsidP="00573D0C">
            <w:pPr>
              <w:pStyle w:val="Style6"/>
              <w:widowControl/>
              <w:spacing w:line="240" w:lineRule="auto"/>
              <w:ind w:right="5"/>
              <w:rPr>
                <w:i/>
                <w:lang w:eastAsia="en-US"/>
              </w:rPr>
            </w:pPr>
            <w:r w:rsidRPr="00573D0C">
              <w:rPr>
                <w:i/>
                <w:lang w:eastAsia="en-US"/>
              </w:rPr>
              <w:t>Справка, выданная органом опеки и попечительства, подтверждающая статус ребенка-сироты или ребенка, оставшегося без попечения родителей; документ, удостоверяющий личность законного представителя ребенка-сироты, ребенка, оставшегося без попечения родителей</w:t>
            </w:r>
          </w:p>
        </w:tc>
      </w:tr>
      <w:tr w:rsidR="00573D0C" w:rsidRPr="00573D0C" w:rsidTr="00573D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573D0C" w:rsidRDefault="00573D0C" w:rsidP="00573D0C">
            <w:pPr>
              <w:rPr>
                <w:i/>
                <w:lang w:val="ru-RU"/>
              </w:rPr>
            </w:pPr>
            <w:r w:rsidRPr="00573D0C">
              <w:rPr>
                <w:rFonts w:eastAsiaTheme="minorHAnsi"/>
                <w:bCs/>
                <w:i/>
                <w:color w:val="26282F"/>
                <w:lang w:val="ru-RU"/>
              </w:rPr>
              <w:t>Лица из числа детей-сирот и детей, оставшихся без попечения родителей,</w:t>
            </w:r>
            <w:r w:rsidRPr="00573D0C">
              <w:rPr>
                <w:rFonts w:eastAsiaTheme="minorHAnsi"/>
                <w:i/>
                <w:lang w:val="ru-RU"/>
              </w:rPr>
              <w:t xml:space="preserve"> </w:t>
            </w:r>
            <w:r w:rsidRPr="00573D0C">
              <w:rPr>
                <w:i/>
                <w:color w:val="000000"/>
                <w:lang w:val="ru-RU"/>
              </w:rPr>
              <w:t>обучающиеся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573D0C" w:rsidRDefault="00573D0C" w:rsidP="00573D0C">
            <w:pPr>
              <w:jc w:val="both"/>
              <w:rPr>
                <w:i/>
                <w:lang w:val="ru-RU"/>
              </w:rPr>
            </w:pPr>
            <w:proofErr w:type="gramStart"/>
            <w:r w:rsidRPr="00573D0C">
              <w:rPr>
                <w:i/>
                <w:lang w:val="ru-RU"/>
              </w:rPr>
              <w:t xml:space="preserve">Справка, выданная органом опеки и попечительства, подтверждающая статус лица из числа детей-сирот и детей, оставшихся без попечения родителей; документы, подтверждающие обучение лица в организациях, осуществляющих образовательную деятельность по очной форме обучения; документ, удостоверяющий личность </w:t>
            </w:r>
            <w:r w:rsidRPr="00573D0C">
              <w:rPr>
                <w:rFonts w:eastAsiaTheme="minorHAnsi"/>
                <w:bCs/>
                <w:i/>
                <w:color w:val="26282F"/>
                <w:lang w:val="ru-RU"/>
              </w:rPr>
              <w:t>лица из числа детей-сирот и детей, оставшихся без попечения родителей</w:t>
            </w:r>
            <w:proofErr w:type="gramEnd"/>
          </w:p>
        </w:tc>
      </w:tr>
      <w:tr w:rsidR="00573D0C" w:rsidRPr="00573D0C" w:rsidTr="00573D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573D0C" w:rsidRDefault="00573D0C" w:rsidP="00573D0C">
            <w:pPr>
              <w:rPr>
                <w:i/>
                <w:lang w:val="ru-RU"/>
              </w:rPr>
            </w:pPr>
            <w:r w:rsidRPr="00573D0C">
              <w:rPr>
                <w:i/>
                <w:lang w:val="ru-RU"/>
              </w:rPr>
              <w:t>Члены многодетных малообеспеченных семей, имеющих трех и более детей, не достигших возраста 18 лет, а также детей, обучающихся в организациях, осуществляющих образовательную деятельность, по очной форме обучения, до окончания обучения, но не дольше чем достижения ими возраста 23 лет.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C" w:rsidRPr="00573D0C" w:rsidRDefault="00573D0C" w:rsidP="00573D0C">
            <w:pPr>
              <w:jc w:val="both"/>
              <w:rPr>
                <w:i/>
                <w:lang w:val="ru-RU"/>
              </w:rPr>
            </w:pPr>
            <w:r w:rsidRPr="00573D0C">
              <w:rPr>
                <w:i/>
                <w:lang w:val="ru-RU"/>
              </w:rPr>
              <w:t>Удостоверение многодетного родителя (опекуна, попечителя), подтверждающее право на получение мер социальной поддержки, установленных статьей 3 Закона Удмуртской Республики от 05.05.2006 года №13-РЗ; документы, подтверждающие обучение детей от 18 до 23 лет в организациях, осуществляющих образовательную деятельность по очной форме обучения; документ, удостоверяющий личность многодетного родителя</w:t>
            </w:r>
          </w:p>
        </w:tc>
      </w:tr>
    </w:tbl>
    <w:p w:rsidR="00573D0C" w:rsidRDefault="001A0B4C" w:rsidP="00DA5E2A">
      <w:pPr>
        <w:keepNext/>
        <w:keepLines/>
        <w:mirrorIndents/>
        <w:rPr>
          <w:color w:val="0000CC"/>
          <w:lang w:val="ru-RU"/>
        </w:rPr>
      </w:pPr>
      <w:r>
        <w:rPr>
          <w:lang w:val="ru-RU"/>
        </w:rPr>
        <w:t xml:space="preserve">        </w:t>
      </w:r>
      <w:r w:rsidR="00F964A6">
        <w:rPr>
          <w:color w:val="0000CC"/>
          <w:lang w:val="ru-RU"/>
        </w:rPr>
        <w:t>(ред. от 22.10.2015 № 33.5</w:t>
      </w:r>
      <w:r w:rsidR="000937DE">
        <w:rPr>
          <w:color w:val="0000CC"/>
          <w:lang w:val="ru-RU"/>
        </w:rPr>
        <w:t>. от 15.02.2018 № 12.6</w:t>
      </w:r>
      <w:r w:rsidR="00F964A6">
        <w:rPr>
          <w:color w:val="0000CC"/>
          <w:lang w:val="ru-RU"/>
        </w:rPr>
        <w:t>)</w:t>
      </w:r>
    </w:p>
    <w:p w:rsidR="00F964A6" w:rsidRDefault="00F964A6" w:rsidP="00DA5E2A">
      <w:pPr>
        <w:keepNext/>
        <w:keepLines/>
        <w:mirrorIndents/>
        <w:rPr>
          <w:lang w:val="ru-RU"/>
        </w:rPr>
      </w:pPr>
    </w:p>
    <w:p w:rsidR="00DA5E2A" w:rsidRDefault="001A0B4C" w:rsidP="00573D0C">
      <w:pPr>
        <w:keepNext/>
        <w:keepLines/>
        <w:ind w:firstLine="709"/>
        <w:mirrorIndents/>
        <w:rPr>
          <w:lang w:val="ru-RU"/>
        </w:rPr>
      </w:pPr>
      <w:r>
        <w:rPr>
          <w:lang w:val="ru-RU"/>
        </w:rPr>
        <w:t>6.</w:t>
      </w:r>
      <w:r>
        <w:rPr>
          <w:spacing w:val="-20"/>
          <w:lang w:val="ru-RU"/>
        </w:rPr>
        <w:t xml:space="preserve"> </w:t>
      </w:r>
      <w:r w:rsidR="00DA5E2A">
        <w:rPr>
          <w:spacing w:val="-20"/>
          <w:lang w:val="ru-RU"/>
        </w:rPr>
        <w:t>Признать утратившим силу решение</w:t>
      </w:r>
      <w:r>
        <w:rPr>
          <w:spacing w:val="-20"/>
          <w:lang w:val="ru-RU"/>
        </w:rPr>
        <w:t xml:space="preserve"> Совета  депутатов  муниципального образования «</w:t>
      </w:r>
      <w:r w:rsidR="00DA5E2A">
        <w:rPr>
          <w:spacing w:val="-20"/>
          <w:lang w:val="ru-RU"/>
        </w:rPr>
        <w:t>Нынекское» от 29.11.2011 года №  33.6</w:t>
      </w:r>
      <w:r>
        <w:rPr>
          <w:spacing w:val="-20"/>
          <w:lang w:val="ru-RU"/>
        </w:rPr>
        <w:t xml:space="preserve">  «</w:t>
      </w:r>
      <w:r>
        <w:rPr>
          <w:lang w:val="ru-RU"/>
        </w:rPr>
        <w:t>Об установлении налога на имущество физических лиц на территории муниципального образования «</w:t>
      </w:r>
      <w:r w:rsidR="00DA5E2A">
        <w:rPr>
          <w:lang w:val="ru-RU"/>
        </w:rPr>
        <w:t>Нынекское</w:t>
      </w:r>
      <w:r>
        <w:rPr>
          <w:lang w:val="ru-RU"/>
        </w:rPr>
        <w:t>»</w:t>
      </w:r>
      <w:r w:rsidR="00DA5E2A">
        <w:rPr>
          <w:lang w:val="ru-RU"/>
        </w:rPr>
        <w:t xml:space="preserve"> в редакции с изменениями от 01.04.2013 года № 8.4.</w:t>
      </w:r>
    </w:p>
    <w:p w:rsidR="001A0B4C" w:rsidRDefault="001A0B4C" w:rsidP="00DA5E2A">
      <w:pPr>
        <w:keepNext/>
        <w:keepLines/>
        <w:mirrorIndents/>
        <w:rPr>
          <w:lang w:val="ru-RU"/>
        </w:rPr>
      </w:pPr>
      <w:r>
        <w:rPr>
          <w:spacing w:val="-20"/>
          <w:lang w:val="ru-RU"/>
        </w:rPr>
        <w:br/>
      </w:r>
      <w:r>
        <w:rPr>
          <w:lang w:val="ru-RU"/>
        </w:rPr>
        <w:t xml:space="preserve">           7. Настоящее решение  вступает в силу с 01 января 2015 года, но не ранее чем по истечении одного месяца со дня его официального опубликования. </w:t>
      </w:r>
    </w:p>
    <w:p w:rsidR="00F964A6" w:rsidRDefault="00F964A6" w:rsidP="00DA5E2A">
      <w:pPr>
        <w:keepNext/>
        <w:keepLines/>
        <w:mirrorIndents/>
        <w:rPr>
          <w:lang w:val="ru-RU"/>
        </w:rPr>
      </w:pPr>
    </w:p>
    <w:p w:rsidR="00F964A6" w:rsidRPr="00F964A6" w:rsidRDefault="00F964A6" w:rsidP="00F964A6">
      <w:pPr>
        <w:keepNext/>
        <w:keepLines/>
        <w:ind w:firstLine="709"/>
        <w:mirrorIndents/>
        <w:rPr>
          <w:lang w:val="ru-RU"/>
        </w:rPr>
      </w:pPr>
      <w:r>
        <w:rPr>
          <w:lang w:val="ru-RU"/>
        </w:rPr>
        <w:t xml:space="preserve">8. </w:t>
      </w:r>
      <w:r w:rsidRPr="00F964A6">
        <w:rPr>
          <w:lang w:val="ru-RU"/>
        </w:rPr>
        <w:t>Настоящее решение  вступает в силу с момента официального опубликования и распространяется на правоотношения, возникшие с 01 января 2015 года</w:t>
      </w:r>
      <w:proofErr w:type="gramStart"/>
      <w:r w:rsidRPr="00F964A6">
        <w:rPr>
          <w:lang w:val="ru-RU"/>
        </w:rPr>
        <w:t>.</w:t>
      </w:r>
      <w:proofErr w:type="gramEnd"/>
      <w:r>
        <w:rPr>
          <w:lang w:val="ru-RU"/>
        </w:rPr>
        <w:t xml:space="preserve"> (</w:t>
      </w:r>
      <w:proofErr w:type="gramStart"/>
      <w:r>
        <w:rPr>
          <w:color w:val="0000CC"/>
          <w:lang w:val="ru-RU"/>
        </w:rPr>
        <w:t>с</w:t>
      </w:r>
      <w:proofErr w:type="gramEnd"/>
      <w:r>
        <w:rPr>
          <w:color w:val="0000CC"/>
          <w:lang w:val="ru-RU"/>
        </w:rPr>
        <w:t xml:space="preserve"> доп. от 25.03.2016 № 39.2)</w:t>
      </w:r>
    </w:p>
    <w:p w:rsidR="001A0B4C" w:rsidRDefault="001A0B4C" w:rsidP="001A0B4C">
      <w:pPr>
        <w:ind w:firstLine="720"/>
        <w:jc w:val="both"/>
        <w:rPr>
          <w:lang w:val="ru-RU"/>
        </w:rPr>
      </w:pPr>
    </w:p>
    <w:p w:rsidR="00573D0C" w:rsidRDefault="00573D0C" w:rsidP="001A0B4C">
      <w:pPr>
        <w:ind w:firstLine="720"/>
        <w:jc w:val="both"/>
        <w:rPr>
          <w:lang w:val="ru-RU"/>
        </w:rPr>
      </w:pPr>
    </w:p>
    <w:p w:rsidR="001A0B4C" w:rsidRDefault="001A0B4C" w:rsidP="001A0B4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Глава муниципального образования</w:t>
      </w:r>
    </w:p>
    <w:p w:rsidR="00DA5E2A" w:rsidRDefault="001A0B4C" w:rsidP="00573D0C">
      <w:pPr>
        <w:tabs>
          <w:tab w:val="left" w:pos="4275"/>
        </w:tabs>
        <w:rPr>
          <w:bCs/>
          <w:lang w:val="ru-RU"/>
        </w:rPr>
      </w:pPr>
      <w:r w:rsidRPr="00DA5E2A">
        <w:rPr>
          <w:bCs/>
          <w:lang w:val="ru-RU"/>
        </w:rPr>
        <w:t>«</w:t>
      </w:r>
      <w:r w:rsidR="00DA5E2A" w:rsidRPr="00DA5E2A">
        <w:rPr>
          <w:bCs/>
          <w:lang w:val="ru-RU"/>
        </w:rPr>
        <w:t>Нынекское</w:t>
      </w:r>
      <w:r w:rsidRPr="00DA5E2A">
        <w:rPr>
          <w:bCs/>
          <w:lang w:val="ru-RU"/>
        </w:rPr>
        <w:t>»</w:t>
      </w:r>
      <w:r w:rsidR="00DA5E2A">
        <w:rPr>
          <w:bCs/>
          <w:lang w:val="ru-RU"/>
        </w:rPr>
        <w:t xml:space="preserve">    </w:t>
      </w:r>
      <w:r w:rsidR="00573D0C">
        <w:rPr>
          <w:bCs/>
          <w:lang w:val="ru-RU"/>
        </w:rPr>
        <w:t xml:space="preserve">                                     </w:t>
      </w:r>
      <w:r w:rsidR="00DA5E2A">
        <w:rPr>
          <w:bCs/>
          <w:lang w:val="ru-RU"/>
        </w:rPr>
        <w:t xml:space="preserve">                                                                   С. С. Шутов</w:t>
      </w:r>
    </w:p>
    <w:p w:rsidR="00573D0C" w:rsidRDefault="00573D0C" w:rsidP="00DA5E2A">
      <w:pPr>
        <w:rPr>
          <w:b/>
          <w:lang w:val="ru-RU"/>
        </w:rPr>
      </w:pPr>
    </w:p>
    <w:p w:rsidR="00573D0C" w:rsidRDefault="00573D0C" w:rsidP="00DA5E2A">
      <w:pPr>
        <w:rPr>
          <w:b/>
          <w:lang w:val="ru-RU"/>
        </w:rPr>
      </w:pPr>
    </w:p>
    <w:p w:rsidR="00DA5E2A" w:rsidRPr="009C65A0" w:rsidRDefault="00573D0C" w:rsidP="00DA5E2A">
      <w:pPr>
        <w:rPr>
          <w:b/>
        </w:rPr>
      </w:pPr>
      <w:r>
        <w:rPr>
          <w:b/>
          <w:lang w:val="ru-RU"/>
        </w:rPr>
        <w:t>с</w:t>
      </w:r>
      <w:r w:rsidR="00DA5E2A" w:rsidRPr="009C65A0">
        <w:rPr>
          <w:b/>
        </w:rPr>
        <w:t>. Нынек</w:t>
      </w:r>
    </w:p>
    <w:p w:rsidR="00DA5E2A" w:rsidRPr="009C65A0" w:rsidRDefault="00DA5E2A" w:rsidP="00DA5E2A">
      <w:pPr>
        <w:rPr>
          <w:b/>
        </w:rPr>
      </w:pPr>
      <w:r w:rsidRPr="009C65A0">
        <w:rPr>
          <w:b/>
        </w:rPr>
        <w:t xml:space="preserve">25 </w:t>
      </w:r>
      <w:proofErr w:type="spellStart"/>
      <w:r w:rsidRPr="009C65A0">
        <w:rPr>
          <w:b/>
        </w:rPr>
        <w:t>ноября</w:t>
      </w:r>
      <w:proofErr w:type="spellEnd"/>
      <w:r w:rsidRPr="009C65A0">
        <w:rPr>
          <w:b/>
        </w:rPr>
        <w:t xml:space="preserve"> 2014года</w:t>
      </w:r>
    </w:p>
    <w:p w:rsidR="00DA5E2A" w:rsidRPr="00DA5E2A" w:rsidRDefault="00DA5E2A" w:rsidP="00DA5E2A">
      <w:pPr>
        <w:rPr>
          <w:b/>
          <w:lang w:val="ru-RU"/>
        </w:rPr>
      </w:pPr>
      <w:r>
        <w:rPr>
          <w:b/>
        </w:rPr>
        <w:t>№ 23.</w:t>
      </w:r>
      <w:r>
        <w:rPr>
          <w:b/>
          <w:lang w:val="ru-RU"/>
        </w:rPr>
        <w:t>2</w:t>
      </w:r>
    </w:p>
    <w:p w:rsidR="00F91B14" w:rsidRPr="00DA5E2A" w:rsidRDefault="001A0B4C" w:rsidP="001A0B4C">
      <w:pPr>
        <w:tabs>
          <w:tab w:val="left" w:pos="4275"/>
        </w:tabs>
        <w:jc w:val="center"/>
        <w:rPr>
          <w:bCs/>
          <w:lang w:val="ru-RU"/>
        </w:rPr>
      </w:pPr>
      <w:r w:rsidRPr="00DA5E2A">
        <w:rPr>
          <w:bCs/>
          <w:lang w:val="ru-RU"/>
        </w:rPr>
        <w:tab/>
      </w:r>
      <w:r w:rsidRPr="00DA5E2A">
        <w:rPr>
          <w:bCs/>
          <w:lang w:val="ru-RU"/>
        </w:rPr>
        <w:tab/>
      </w:r>
      <w:r w:rsidRPr="00DA5E2A">
        <w:rPr>
          <w:bCs/>
          <w:lang w:val="ru-RU"/>
        </w:rPr>
        <w:tab/>
      </w:r>
      <w:r w:rsidRPr="00DA5E2A">
        <w:rPr>
          <w:bCs/>
          <w:lang w:val="ru-RU"/>
        </w:rPr>
        <w:tab/>
      </w:r>
      <w:r w:rsidRPr="00DA5E2A">
        <w:rPr>
          <w:bCs/>
          <w:lang w:val="ru-RU"/>
        </w:rPr>
        <w:tab/>
      </w:r>
      <w:r w:rsidRPr="00DA5E2A">
        <w:rPr>
          <w:bCs/>
          <w:lang w:val="ru-RU"/>
        </w:rPr>
        <w:tab/>
      </w:r>
    </w:p>
    <w:sectPr w:rsidR="00F91B14" w:rsidRPr="00DA5E2A" w:rsidSect="00DA5E2A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77078"/>
    <w:multiLevelType w:val="hybridMultilevel"/>
    <w:tmpl w:val="CFC2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9D"/>
    <w:rsid w:val="000937DE"/>
    <w:rsid w:val="001A0B4C"/>
    <w:rsid w:val="001D0251"/>
    <w:rsid w:val="00573D0C"/>
    <w:rsid w:val="005A3F15"/>
    <w:rsid w:val="008B3D39"/>
    <w:rsid w:val="009B099D"/>
    <w:rsid w:val="00A55DEF"/>
    <w:rsid w:val="00B02F06"/>
    <w:rsid w:val="00B1561F"/>
    <w:rsid w:val="00C02080"/>
    <w:rsid w:val="00DA5E2A"/>
    <w:rsid w:val="00DD0701"/>
    <w:rsid w:val="00F8794E"/>
    <w:rsid w:val="00F91B14"/>
    <w:rsid w:val="00F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91B14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91B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F91B14"/>
    <w:pPr>
      <w:framePr w:hSpace="180" w:wrap="around" w:vAnchor="text" w:hAnchor="page" w:x="1162" w:y="185"/>
      <w:jc w:val="center"/>
    </w:pPr>
    <w:rPr>
      <w:b/>
      <w:lang w:val="ru-RU"/>
    </w:rPr>
  </w:style>
  <w:style w:type="character" w:customStyle="1" w:styleId="a4">
    <w:name w:val="Основной текст Знак"/>
    <w:basedOn w:val="a0"/>
    <w:link w:val="a3"/>
    <w:semiHidden/>
    <w:rsid w:val="00F91B14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ody Text Indent"/>
    <w:basedOn w:val="a"/>
    <w:link w:val="a6"/>
    <w:unhideWhenUsed/>
    <w:rsid w:val="00F91B14"/>
    <w:pPr>
      <w:ind w:firstLine="708"/>
    </w:pPr>
    <w:rPr>
      <w:color w:val="333399"/>
      <w:sz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F91B14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Title">
    <w:name w:val="ConsTitle"/>
    <w:rsid w:val="00F91B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91B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B14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6">
    <w:name w:val="Style6"/>
    <w:basedOn w:val="a"/>
    <w:uiPriority w:val="99"/>
    <w:rsid w:val="00573D0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ru-RU" w:eastAsia="ru-RU"/>
    </w:rPr>
  </w:style>
  <w:style w:type="paragraph" w:customStyle="1" w:styleId="Style11">
    <w:name w:val="Style11"/>
    <w:basedOn w:val="a"/>
    <w:uiPriority w:val="99"/>
    <w:rsid w:val="00573D0C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  <w:lang w:val="ru-RU" w:eastAsia="ru-RU"/>
    </w:rPr>
  </w:style>
  <w:style w:type="character" w:customStyle="1" w:styleId="FontStyle16">
    <w:name w:val="Font Style16"/>
    <w:basedOn w:val="a0"/>
    <w:uiPriority w:val="99"/>
    <w:rsid w:val="00573D0C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F964A6"/>
  </w:style>
  <w:style w:type="paragraph" w:styleId="a9">
    <w:name w:val="List Paragraph"/>
    <w:basedOn w:val="a"/>
    <w:uiPriority w:val="34"/>
    <w:qFormat/>
    <w:rsid w:val="00F964A6"/>
    <w:pPr>
      <w:ind w:left="720"/>
      <w:contextualSpacing/>
    </w:pPr>
    <w:rPr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0937D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937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91B14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91B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F91B14"/>
    <w:pPr>
      <w:framePr w:hSpace="180" w:wrap="around" w:vAnchor="text" w:hAnchor="page" w:x="1162" w:y="185"/>
      <w:jc w:val="center"/>
    </w:pPr>
    <w:rPr>
      <w:b/>
      <w:lang w:val="ru-RU"/>
    </w:rPr>
  </w:style>
  <w:style w:type="character" w:customStyle="1" w:styleId="a4">
    <w:name w:val="Основной текст Знак"/>
    <w:basedOn w:val="a0"/>
    <w:link w:val="a3"/>
    <w:semiHidden/>
    <w:rsid w:val="00F91B14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ody Text Indent"/>
    <w:basedOn w:val="a"/>
    <w:link w:val="a6"/>
    <w:unhideWhenUsed/>
    <w:rsid w:val="00F91B14"/>
    <w:pPr>
      <w:ind w:firstLine="708"/>
    </w:pPr>
    <w:rPr>
      <w:color w:val="333399"/>
      <w:sz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F91B14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Title">
    <w:name w:val="ConsTitle"/>
    <w:rsid w:val="00F91B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91B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B14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6">
    <w:name w:val="Style6"/>
    <w:basedOn w:val="a"/>
    <w:uiPriority w:val="99"/>
    <w:rsid w:val="00573D0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ru-RU" w:eastAsia="ru-RU"/>
    </w:rPr>
  </w:style>
  <w:style w:type="paragraph" w:customStyle="1" w:styleId="Style11">
    <w:name w:val="Style11"/>
    <w:basedOn w:val="a"/>
    <w:uiPriority w:val="99"/>
    <w:rsid w:val="00573D0C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  <w:lang w:val="ru-RU" w:eastAsia="ru-RU"/>
    </w:rPr>
  </w:style>
  <w:style w:type="character" w:customStyle="1" w:styleId="FontStyle16">
    <w:name w:val="Font Style16"/>
    <w:basedOn w:val="a0"/>
    <w:uiPriority w:val="99"/>
    <w:rsid w:val="00573D0C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F964A6"/>
  </w:style>
  <w:style w:type="paragraph" w:styleId="a9">
    <w:name w:val="List Paragraph"/>
    <w:basedOn w:val="a"/>
    <w:uiPriority w:val="34"/>
    <w:qFormat/>
    <w:rsid w:val="00F964A6"/>
    <w:pPr>
      <w:ind w:left="720"/>
      <w:contextualSpacing/>
    </w:pPr>
    <w:rPr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0937D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937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2015-10-21T16:48:00Z</cp:lastPrinted>
  <dcterms:created xsi:type="dcterms:W3CDTF">2018-08-13T11:33:00Z</dcterms:created>
  <dcterms:modified xsi:type="dcterms:W3CDTF">2018-08-13T11:33:00Z</dcterms:modified>
</cp:coreProperties>
</file>